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BFDD" w14:textId="77777777" w:rsidR="0083290F" w:rsidRPr="004632D2" w:rsidRDefault="0083290F" w:rsidP="00195D93">
      <w:pPr>
        <w:rPr>
          <w:sz w:val="22"/>
          <w:szCs w:val="22"/>
        </w:rPr>
      </w:pPr>
    </w:p>
    <w:p w14:paraId="630554E7" w14:textId="77777777" w:rsidR="0083290F" w:rsidRPr="004632D2" w:rsidRDefault="0083290F" w:rsidP="0083290F">
      <w:pPr>
        <w:rPr>
          <w:sz w:val="22"/>
          <w:szCs w:val="22"/>
        </w:rPr>
      </w:pPr>
    </w:p>
    <w:p w14:paraId="5E971708" w14:textId="77777777" w:rsidR="0083290F" w:rsidRPr="004632D2" w:rsidRDefault="0083290F" w:rsidP="0083290F">
      <w:pPr>
        <w:rPr>
          <w:sz w:val="22"/>
          <w:szCs w:val="22"/>
        </w:rPr>
      </w:pPr>
    </w:p>
    <w:p w14:paraId="655B6412" w14:textId="77777777" w:rsidR="008D4966" w:rsidRPr="004632D2" w:rsidRDefault="008D4966" w:rsidP="008D4966">
      <w:pPr>
        <w:rPr>
          <w:rFonts w:eastAsia="Cambria"/>
          <w:sz w:val="22"/>
          <w:szCs w:val="22"/>
        </w:rPr>
      </w:pPr>
    </w:p>
    <w:p w14:paraId="7E1B0264" w14:textId="77777777" w:rsidR="00E13BFF" w:rsidRPr="004632D2" w:rsidRDefault="00E13BFF" w:rsidP="00E13BFF">
      <w:pPr>
        <w:pStyle w:val="NoSpacing"/>
        <w:ind w:right="-144"/>
        <w:jc w:val="both"/>
        <w:rPr>
          <w:rFonts w:ascii="Times New Roman" w:hAnsi="Times New Roman"/>
          <w:sz w:val="22"/>
          <w:szCs w:val="22"/>
        </w:rPr>
      </w:pPr>
    </w:p>
    <w:p w14:paraId="6D37C032" w14:textId="3734DCDE" w:rsidR="00C3763B" w:rsidRPr="004632D2" w:rsidRDefault="006C202F" w:rsidP="00C3763B">
      <w:pPr>
        <w:ind w:right="-144"/>
        <w:rPr>
          <w:rFonts w:eastAsia="Cambria"/>
          <w:sz w:val="22"/>
          <w:szCs w:val="22"/>
        </w:rPr>
      </w:pPr>
      <w:r w:rsidRPr="004632D2">
        <w:rPr>
          <w:rFonts w:eastAsia="Cambria"/>
          <w:sz w:val="22"/>
          <w:szCs w:val="22"/>
        </w:rPr>
        <w:t xml:space="preserve">The Honorable </w:t>
      </w:r>
      <w:r w:rsidR="00F915A7" w:rsidRPr="004632D2">
        <w:rPr>
          <w:rFonts w:eastAsia="Cambria"/>
          <w:sz w:val="22"/>
          <w:szCs w:val="22"/>
        </w:rPr>
        <w:t>Lloyd J. Austin III</w:t>
      </w:r>
    </w:p>
    <w:p w14:paraId="0ED52066" w14:textId="52BCEEDF" w:rsidR="0008145D" w:rsidRPr="004632D2" w:rsidRDefault="006C202F" w:rsidP="0008145D">
      <w:pPr>
        <w:pStyle w:val="PlainText"/>
        <w:rPr>
          <w:rFonts w:ascii="Times New Roman" w:hAnsi="Times New Roman"/>
          <w:sz w:val="22"/>
          <w:szCs w:val="22"/>
        </w:rPr>
      </w:pPr>
      <w:r w:rsidRPr="004632D2">
        <w:rPr>
          <w:rFonts w:ascii="Times New Roman" w:hAnsi="Times New Roman"/>
          <w:sz w:val="22"/>
          <w:szCs w:val="22"/>
        </w:rPr>
        <w:t>Secretary of Defense</w:t>
      </w:r>
    </w:p>
    <w:p w14:paraId="2148A1A1" w14:textId="1C2BDFE6" w:rsidR="0008145D" w:rsidRPr="004632D2" w:rsidRDefault="00F915A7" w:rsidP="0008145D">
      <w:pPr>
        <w:pStyle w:val="PlainText"/>
        <w:rPr>
          <w:rFonts w:ascii="Times New Roman" w:hAnsi="Times New Roman"/>
          <w:sz w:val="22"/>
          <w:szCs w:val="22"/>
        </w:rPr>
      </w:pPr>
      <w:r w:rsidRPr="004632D2">
        <w:rPr>
          <w:rFonts w:ascii="Times New Roman" w:hAnsi="Times New Roman"/>
          <w:sz w:val="22"/>
          <w:szCs w:val="22"/>
        </w:rPr>
        <w:t>1000</w:t>
      </w:r>
      <w:r w:rsidR="006C202F" w:rsidRPr="004632D2">
        <w:rPr>
          <w:rFonts w:ascii="Times New Roman" w:hAnsi="Times New Roman"/>
          <w:sz w:val="22"/>
          <w:szCs w:val="22"/>
        </w:rPr>
        <w:t xml:space="preserve"> Defense Pentagon</w:t>
      </w:r>
    </w:p>
    <w:p w14:paraId="7A6D5648" w14:textId="3F4E8596" w:rsidR="0008145D" w:rsidRPr="004632D2" w:rsidRDefault="006C202F" w:rsidP="0008145D">
      <w:pPr>
        <w:pStyle w:val="PlainText"/>
        <w:rPr>
          <w:rFonts w:ascii="Times New Roman" w:hAnsi="Times New Roman"/>
          <w:sz w:val="22"/>
          <w:szCs w:val="22"/>
        </w:rPr>
      </w:pPr>
      <w:r w:rsidRPr="004632D2">
        <w:rPr>
          <w:rFonts w:ascii="Times New Roman" w:hAnsi="Times New Roman"/>
          <w:sz w:val="22"/>
          <w:szCs w:val="22"/>
        </w:rPr>
        <w:t>Washington, DC 20301-</w:t>
      </w:r>
      <w:r w:rsidR="00E501FF" w:rsidRPr="004632D2">
        <w:rPr>
          <w:rFonts w:ascii="Times New Roman" w:hAnsi="Times New Roman"/>
          <w:sz w:val="22"/>
          <w:szCs w:val="22"/>
        </w:rPr>
        <w:t>1000</w:t>
      </w:r>
    </w:p>
    <w:p w14:paraId="4F93FC38" w14:textId="77777777" w:rsidR="00C3763B" w:rsidRPr="004632D2" w:rsidRDefault="00C3763B" w:rsidP="00C3763B">
      <w:pPr>
        <w:ind w:right="-144"/>
        <w:rPr>
          <w:rFonts w:eastAsia="Cambria"/>
          <w:sz w:val="22"/>
          <w:szCs w:val="22"/>
        </w:rPr>
      </w:pPr>
    </w:p>
    <w:p w14:paraId="7B3FD81E" w14:textId="0D033024" w:rsidR="00C3763B" w:rsidRPr="004632D2" w:rsidRDefault="00C3763B" w:rsidP="00C3763B">
      <w:pPr>
        <w:ind w:right="-144"/>
        <w:rPr>
          <w:rFonts w:eastAsia="Cambria"/>
          <w:sz w:val="22"/>
          <w:szCs w:val="22"/>
        </w:rPr>
      </w:pPr>
      <w:r w:rsidRPr="004632D2">
        <w:rPr>
          <w:rFonts w:eastAsia="Cambria"/>
          <w:sz w:val="22"/>
          <w:szCs w:val="22"/>
        </w:rPr>
        <w:t xml:space="preserve">Dear </w:t>
      </w:r>
      <w:r w:rsidR="006C202F" w:rsidRPr="004632D2">
        <w:rPr>
          <w:rFonts w:eastAsia="Cambria"/>
          <w:sz w:val="22"/>
          <w:szCs w:val="22"/>
        </w:rPr>
        <w:t xml:space="preserve">Secretary </w:t>
      </w:r>
      <w:r w:rsidR="00F915A7" w:rsidRPr="004632D2">
        <w:rPr>
          <w:rFonts w:eastAsia="Cambria"/>
          <w:sz w:val="22"/>
          <w:szCs w:val="22"/>
        </w:rPr>
        <w:t>Austin</w:t>
      </w:r>
      <w:r w:rsidRPr="004632D2">
        <w:rPr>
          <w:rFonts w:eastAsia="Cambria"/>
          <w:sz w:val="22"/>
          <w:szCs w:val="22"/>
        </w:rPr>
        <w:t>:</w:t>
      </w:r>
    </w:p>
    <w:p w14:paraId="5B52E6B1" w14:textId="77777777" w:rsidR="00C3763B" w:rsidRPr="004632D2" w:rsidRDefault="00C3763B" w:rsidP="00C3763B">
      <w:pPr>
        <w:pStyle w:val="NoSpacing"/>
        <w:ind w:right="-144"/>
        <w:rPr>
          <w:rFonts w:ascii="Times New Roman" w:eastAsia="Times New Roman" w:hAnsi="Times New Roman"/>
          <w:sz w:val="22"/>
          <w:szCs w:val="22"/>
        </w:rPr>
      </w:pPr>
    </w:p>
    <w:p w14:paraId="21056225" w14:textId="1C5813AA" w:rsidR="00F915A7" w:rsidRPr="004632D2" w:rsidRDefault="00BF11B0" w:rsidP="00F915A7">
      <w:pPr>
        <w:tabs>
          <w:tab w:val="left" w:pos="8310"/>
        </w:tabs>
        <w:spacing w:after="200"/>
        <w:ind w:firstLine="720"/>
        <w:contextualSpacing/>
        <w:rPr>
          <w:sz w:val="22"/>
          <w:szCs w:val="22"/>
        </w:rPr>
      </w:pPr>
      <w:r w:rsidRPr="004632D2">
        <w:rPr>
          <w:sz w:val="22"/>
          <w:szCs w:val="22"/>
        </w:rPr>
        <w:t>T</w:t>
      </w:r>
      <w:r w:rsidR="00807CA4" w:rsidRPr="004632D2">
        <w:rPr>
          <w:sz w:val="22"/>
          <w:szCs w:val="22"/>
        </w:rPr>
        <w:t xml:space="preserve">he Reserve Forces Policy Board (RFPB) </w:t>
      </w:r>
      <w:r w:rsidR="00F16E93" w:rsidRPr="004632D2">
        <w:rPr>
          <w:sz w:val="22"/>
          <w:szCs w:val="22"/>
        </w:rPr>
        <w:t xml:space="preserve">met on </w:t>
      </w:r>
      <w:r w:rsidR="00F915A7" w:rsidRPr="004632D2">
        <w:rPr>
          <w:sz w:val="22"/>
          <w:szCs w:val="22"/>
        </w:rPr>
        <w:t>July 20</w:t>
      </w:r>
      <w:r w:rsidR="00F16E93" w:rsidRPr="004632D2">
        <w:rPr>
          <w:sz w:val="22"/>
          <w:szCs w:val="22"/>
        </w:rPr>
        <w:t xml:space="preserve">, </w:t>
      </w:r>
      <w:proofErr w:type="gramStart"/>
      <w:r w:rsidR="00F16E93" w:rsidRPr="004632D2">
        <w:rPr>
          <w:sz w:val="22"/>
          <w:szCs w:val="22"/>
        </w:rPr>
        <w:t>20</w:t>
      </w:r>
      <w:r w:rsidR="00F915A7" w:rsidRPr="004632D2">
        <w:rPr>
          <w:sz w:val="22"/>
          <w:szCs w:val="22"/>
        </w:rPr>
        <w:t>22</w:t>
      </w:r>
      <w:proofErr w:type="gramEnd"/>
      <w:r w:rsidR="00F16E93" w:rsidRPr="004632D2">
        <w:rPr>
          <w:sz w:val="22"/>
          <w:szCs w:val="22"/>
        </w:rPr>
        <w:t xml:space="preserve"> to discuss </w:t>
      </w:r>
      <w:r w:rsidR="00594E51" w:rsidRPr="004632D2">
        <w:rPr>
          <w:sz w:val="22"/>
          <w:szCs w:val="22"/>
        </w:rPr>
        <w:t>a number of</w:t>
      </w:r>
      <w:r w:rsidR="00F16E93" w:rsidRPr="004632D2">
        <w:rPr>
          <w:sz w:val="22"/>
          <w:szCs w:val="22"/>
        </w:rPr>
        <w:t xml:space="preserve"> critical issues relevant to the Reserve Component</w:t>
      </w:r>
      <w:r w:rsidR="0071058E" w:rsidRPr="004632D2">
        <w:rPr>
          <w:sz w:val="22"/>
          <w:szCs w:val="22"/>
        </w:rPr>
        <w:t>s</w:t>
      </w:r>
      <w:r w:rsidR="00F16E93" w:rsidRPr="004632D2">
        <w:rPr>
          <w:sz w:val="22"/>
          <w:szCs w:val="22"/>
        </w:rPr>
        <w:t xml:space="preserve"> </w:t>
      </w:r>
      <w:r w:rsidR="00594E51" w:rsidRPr="004632D2">
        <w:rPr>
          <w:sz w:val="22"/>
          <w:szCs w:val="22"/>
        </w:rPr>
        <w:t xml:space="preserve">(RC) </w:t>
      </w:r>
      <w:r w:rsidR="00F16E93" w:rsidRPr="004632D2">
        <w:rPr>
          <w:sz w:val="22"/>
          <w:szCs w:val="22"/>
        </w:rPr>
        <w:t xml:space="preserve">and all of DoD. The </w:t>
      </w:r>
      <w:r w:rsidR="00E501FF" w:rsidRPr="004632D2">
        <w:rPr>
          <w:sz w:val="22"/>
          <w:szCs w:val="22"/>
        </w:rPr>
        <w:t>B</w:t>
      </w:r>
      <w:r w:rsidR="00F16E93" w:rsidRPr="004632D2">
        <w:rPr>
          <w:sz w:val="22"/>
          <w:szCs w:val="22"/>
        </w:rPr>
        <w:t xml:space="preserve">oard </w:t>
      </w:r>
      <w:r w:rsidR="00F915A7" w:rsidRPr="004632D2">
        <w:rPr>
          <w:sz w:val="22"/>
          <w:szCs w:val="22"/>
        </w:rPr>
        <w:t xml:space="preserve">first </w:t>
      </w:r>
      <w:r w:rsidR="00F915A7" w:rsidRPr="004632D2">
        <w:rPr>
          <w:sz w:val="22"/>
          <w:szCs w:val="22"/>
        </w:rPr>
        <w:t>discussed the current progress of Duty Status Reform</w:t>
      </w:r>
      <w:r w:rsidR="00E501FF" w:rsidRPr="004632D2">
        <w:rPr>
          <w:sz w:val="22"/>
          <w:szCs w:val="22"/>
        </w:rPr>
        <w:t xml:space="preserve"> (DSR)</w:t>
      </w:r>
      <w:r w:rsidR="00F915A7" w:rsidRPr="004632D2">
        <w:rPr>
          <w:sz w:val="22"/>
          <w:szCs w:val="22"/>
        </w:rPr>
        <w:t xml:space="preserve">. The RFPB </w:t>
      </w:r>
      <w:r w:rsidR="004632D2" w:rsidRPr="004632D2">
        <w:rPr>
          <w:sz w:val="22"/>
          <w:szCs w:val="22"/>
        </w:rPr>
        <w:t xml:space="preserve">has </w:t>
      </w:r>
      <w:r w:rsidR="00F915A7" w:rsidRPr="004632D2">
        <w:rPr>
          <w:sz w:val="22"/>
          <w:szCs w:val="22"/>
        </w:rPr>
        <w:t>consistently supported DoD efforts to reduce the number of Reserve Duty statues from 32 to no more than nine, grouped into four duty categories to which specific pay and benefits are aligned. DoD research in September of 2017 indicated that at least 450 statutes need to be changed to accommodate the new construct. Although the Department has garnered support for Duty Status Reform, there remains non-concurrence from the Office of Management and Budget (OMB) on aligning benefits to the new duty status construct.</w:t>
      </w:r>
    </w:p>
    <w:p w14:paraId="7794A520" w14:textId="77777777" w:rsidR="00F915A7" w:rsidRPr="004632D2" w:rsidRDefault="00F915A7" w:rsidP="00F915A7">
      <w:pPr>
        <w:tabs>
          <w:tab w:val="left" w:pos="8310"/>
        </w:tabs>
        <w:spacing w:after="200"/>
        <w:ind w:firstLine="720"/>
        <w:contextualSpacing/>
        <w:rPr>
          <w:sz w:val="22"/>
          <w:szCs w:val="22"/>
        </w:rPr>
      </w:pPr>
    </w:p>
    <w:p w14:paraId="6A346BF9" w14:textId="37B5E470" w:rsidR="00F915A7" w:rsidRPr="004632D2" w:rsidRDefault="00F915A7" w:rsidP="00F915A7">
      <w:pPr>
        <w:tabs>
          <w:tab w:val="left" w:pos="8310"/>
        </w:tabs>
        <w:spacing w:after="200"/>
        <w:ind w:firstLine="720"/>
        <w:contextualSpacing/>
        <w:rPr>
          <w:sz w:val="22"/>
          <w:szCs w:val="22"/>
        </w:rPr>
      </w:pPr>
      <w:r w:rsidRPr="004632D2">
        <w:rPr>
          <w:sz w:val="22"/>
          <w:szCs w:val="22"/>
        </w:rPr>
        <w:t>The Board also discussed the elimination of Reserve Component General and Flag exemptions as part of Section 526 of FY2017 NDAA, known as Chairman’s Reserve Positions</w:t>
      </w:r>
      <w:r w:rsidR="004632D2">
        <w:rPr>
          <w:sz w:val="22"/>
          <w:szCs w:val="22"/>
        </w:rPr>
        <w:t xml:space="preserve"> (CRP)</w:t>
      </w:r>
      <w:r w:rsidRPr="004632D2">
        <w:rPr>
          <w:sz w:val="22"/>
          <w:szCs w:val="22"/>
        </w:rPr>
        <w:t>, that take effect on January 1, 2023. The Board fully supports the Joint Staff Legislative Proposal #008, which would amend section 526a(b)</w:t>
      </w:r>
      <w:r w:rsidR="004632D2">
        <w:rPr>
          <w:sz w:val="22"/>
          <w:szCs w:val="22"/>
        </w:rPr>
        <w:t>,</w:t>
      </w:r>
      <w:r w:rsidRPr="004632D2">
        <w:rPr>
          <w:sz w:val="22"/>
          <w:szCs w:val="22"/>
        </w:rPr>
        <w:t xml:space="preserve"> adding language to reinstate the exemptions for 18 CRP</w:t>
      </w:r>
      <w:r w:rsidR="004632D2">
        <w:rPr>
          <w:sz w:val="22"/>
          <w:szCs w:val="22"/>
        </w:rPr>
        <w:t>s</w:t>
      </w:r>
      <w:r w:rsidRPr="004632D2">
        <w:rPr>
          <w:sz w:val="22"/>
          <w:szCs w:val="22"/>
        </w:rPr>
        <w:t>, with 15 general</w:t>
      </w:r>
      <w:r w:rsidR="004632D2">
        <w:rPr>
          <w:sz w:val="22"/>
          <w:szCs w:val="22"/>
        </w:rPr>
        <w:t>/</w:t>
      </w:r>
      <w:r w:rsidRPr="004632D2">
        <w:rPr>
          <w:sz w:val="22"/>
          <w:szCs w:val="22"/>
        </w:rPr>
        <w:t xml:space="preserve">flag officer positions in the </w:t>
      </w:r>
      <w:r w:rsidR="004632D2">
        <w:rPr>
          <w:sz w:val="22"/>
          <w:szCs w:val="22"/>
        </w:rPr>
        <w:t>CCMDs</w:t>
      </w:r>
      <w:r w:rsidRPr="004632D2">
        <w:rPr>
          <w:sz w:val="22"/>
          <w:szCs w:val="22"/>
        </w:rPr>
        <w:t xml:space="preserve"> and three general</w:t>
      </w:r>
      <w:r w:rsidR="004632D2">
        <w:rPr>
          <w:sz w:val="22"/>
          <w:szCs w:val="22"/>
        </w:rPr>
        <w:t>/</w:t>
      </w:r>
      <w:r w:rsidRPr="004632D2">
        <w:rPr>
          <w:sz w:val="22"/>
          <w:szCs w:val="22"/>
        </w:rPr>
        <w:t>flag officer positions on the Joint Staff. These full-time, joint positions are filled exclusively by Reserve Component officers, below the grade of lieutenant general or vice admiral and are not counted for the purpose of the limitation under section 526(a).</w:t>
      </w:r>
    </w:p>
    <w:p w14:paraId="1668EE71" w14:textId="34E78522" w:rsidR="00A922EB" w:rsidRPr="004632D2" w:rsidRDefault="00E501FF" w:rsidP="00ED6FCD">
      <w:pPr>
        <w:pStyle w:val="PlainText"/>
        <w:ind w:firstLine="720"/>
        <w:rPr>
          <w:rFonts w:ascii="Times New Roman" w:hAnsi="Times New Roman"/>
          <w:sz w:val="22"/>
          <w:szCs w:val="22"/>
        </w:rPr>
      </w:pPr>
      <w:r w:rsidRPr="004632D2">
        <w:rPr>
          <w:rFonts w:ascii="Times New Roman" w:hAnsi="Times New Roman"/>
          <w:sz w:val="22"/>
          <w:szCs w:val="22"/>
        </w:rPr>
        <w:t xml:space="preserve">Finally, the Board discussed the importance of including the life-cycle costs of Reservists in Fully Burdened Life Cycle Cost </w:t>
      </w:r>
      <w:r w:rsidRPr="004632D2">
        <w:rPr>
          <w:rFonts w:ascii="Times New Roman" w:hAnsi="Times New Roman"/>
          <w:sz w:val="22"/>
          <w:szCs w:val="22"/>
        </w:rPr>
        <w:t xml:space="preserve">(FBLCC) </w:t>
      </w:r>
      <w:r w:rsidRPr="004632D2">
        <w:rPr>
          <w:rFonts w:ascii="Times New Roman" w:hAnsi="Times New Roman"/>
          <w:sz w:val="22"/>
          <w:szCs w:val="22"/>
        </w:rPr>
        <w:t>models. This is critical since knowing</w:t>
      </w:r>
      <w:r w:rsidRPr="004632D2">
        <w:rPr>
          <w:rFonts w:ascii="Times New Roman" w:hAnsi="Times New Roman"/>
          <w:spacing w:val="-3"/>
          <w:sz w:val="22"/>
          <w:szCs w:val="22"/>
        </w:rPr>
        <w:t xml:space="preserve"> </w:t>
      </w:r>
      <w:r w:rsidRPr="004632D2">
        <w:rPr>
          <w:rFonts w:ascii="Times New Roman" w:hAnsi="Times New Roman"/>
          <w:sz w:val="22"/>
          <w:szCs w:val="22"/>
        </w:rPr>
        <w:t>the</w:t>
      </w:r>
      <w:r w:rsidRPr="004632D2">
        <w:rPr>
          <w:rFonts w:ascii="Times New Roman" w:hAnsi="Times New Roman"/>
          <w:spacing w:val="-1"/>
          <w:sz w:val="22"/>
          <w:szCs w:val="22"/>
        </w:rPr>
        <w:t xml:space="preserve"> fully</w:t>
      </w:r>
      <w:r w:rsidR="004632D2">
        <w:rPr>
          <w:rFonts w:ascii="Times New Roman" w:hAnsi="Times New Roman"/>
          <w:spacing w:val="-1"/>
          <w:sz w:val="22"/>
          <w:szCs w:val="22"/>
        </w:rPr>
        <w:t xml:space="preserve"> </w:t>
      </w:r>
      <w:r w:rsidRPr="004632D2">
        <w:rPr>
          <w:rFonts w:ascii="Times New Roman" w:hAnsi="Times New Roman"/>
          <w:spacing w:val="-1"/>
          <w:sz w:val="22"/>
          <w:szCs w:val="22"/>
        </w:rPr>
        <w:t>burdened</w:t>
      </w:r>
      <w:r w:rsidRPr="004632D2">
        <w:rPr>
          <w:rFonts w:ascii="Times New Roman" w:hAnsi="Times New Roman"/>
          <w:sz w:val="22"/>
          <w:szCs w:val="22"/>
        </w:rPr>
        <w:t xml:space="preserve"> </w:t>
      </w:r>
      <w:r w:rsidRPr="004632D2">
        <w:rPr>
          <w:rFonts w:ascii="Times New Roman" w:hAnsi="Times New Roman"/>
          <w:spacing w:val="-1"/>
          <w:sz w:val="22"/>
          <w:szCs w:val="22"/>
        </w:rPr>
        <w:t>costs</w:t>
      </w:r>
      <w:r w:rsidRPr="004632D2">
        <w:rPr>
          <w:rFonts w:ascii="Times New Roman" w:hAnsi="Times New Roman"/>
          <w:sz w:val="22"/>
          <w:szCs w:val="22"/>
        </w:rPr>
        <w:t xml:space="preserve"> </w:t>
      </w:r>
      <w:r w:rsidRPr="004632D2">
        <w:rPr>
          <w:rFonts w:ascii="Times New Roman" w:hAnsi="Times New Roman"/>
          <w:spacing w:val="1"/>
          <w:sz w:val="22"/>
          <w:szCs w:val="22"/>
        </w:rPr>
        <w:t>of</w:t>
      </w:r>
      <w:r w:rsidRPr="004632D2">
        <w:rPr>
          <w:rFonts w:ascii="Times New Roman" w:hAnsi="Times New Roman"/>
          <w:spacing w:val="-1"/>
          <w:sz w:val="22"/>
          <w:szCs w:val="22"/>
        </w:rPr>
        <w:t xml:space="preserve"> each</w:t>
      </w:r>
      <w:r w:rsidRPr="004632D2">
        <w:rPr>
          <w:rFonts w:ascii="Times New Roman" w:hAnsi="Times New Roman"/>
          <w:spacing w:val="2"/>
          <w:sz w:val="22"/>
          <w:szCs w:val="22"/>
        </w:rPr>
        <w:t xml:space="preserve"> </w:t>
      </w:r>
      <w:r w:rsidRPr="004632D2">
        <w:rPr>
          <w:rFonts w:ascii="Times New Roman" w:hAnsi="Times New Roman"/>
          <w:spacing w:val="-1"/>
          <w:sz w:val="22"/>
          <w:szCs w:val="22"/>
        </w:rPr>
        <w:t>component</w:t>
      </w:r>
      <w:r w:rsidRPr="004632D2">
        <w:rPr>
          <w:rFonts w:ascii="Times New Roman" w:hAnsi="Times New Roman"/>
          <w:sz w:val="22"/>
          <w:szCs w:val="22"/>
        </w:rPr>
        <w:t xml:space="preserve"> (active, </w:t>
      </w:r>
      <w:r w:rsidRPr="004632D2">
        <w:rPr>
          <w:rFonts w:ascii="Times New Roman" w:hAnsi="Times New Roman"/>
          <w:spacing w:val="-1"/>
          <w:sz w:val="22"/>
          <w:szCs w:val="22"/>
        </w:rPr>
        <w:t>reserve,</w:t>
      </w:r>
      <w:r w:rsidRPr="004632D2">
        <w:rPr>
          <w:rFonts w:ascii="Times New Roman" w:hAnsi="Times New Roman"/>
          <w:sz w:val="22"/>
          <w:szCs w:val="22"/>
        </w:rPr>
        <w:t xml:space="preserve"> </w:t>
      </w:r>
      <w:r w:rsidRPr="004632D2">
        <w:rPr>
          <w:rFonts w:ascii="Times New Roman" w:hAnsi="Times New Roman"/>
          <w:spacing w:val="-1"/>
          <w:sz w:val="22"/>
          <w:szCs w:val="22"/>
        </w:rPr>
        <w:t>civilian</w:t>
      </w:r>
      <w:r w:rsidR="004632D2">
        <w:rPr>
          <w:rFonts w:ascii="Times New Roman" w:hAnsi="Times New Roman"/>
          <w:spacing w:val="-1"/>
          <w:sz w:val="22"/>
          <w:szCs w:val="22"/>
        </w:rPr>
        <w:t>,</w:t>
      </w:r>
      <w:r w:rsidRPr="004632D2">
        <w:rPr>
          <w:rFonts w:ascii="Times New Roman" w:hAnsi="Times New Roman"/>
          <w:sz w:val="22"/>
          <w:szCs w:val="22"/>
        </w:rPr>
        <w:t xml:space="preserve"> </w:t>
      </w:r>
      <w:r w:rsidRPr="004632D2">
        <w:rPr>
          <w:rFonts w:ascii="Times New Roman" w:hAnsi="Times New Roman"/>
          <w:spacing w:val="-1"/>
          <w:sz w:val="22"/>
          <w:szCs w:val="22"/>
        </w:rPr>
        <w:t xml:space="preserve">and contractor) </w:t>
      </w:r>
      <w:r w:rsidRPr="004632D2">
        <w:rPr>
          <w:rFonts w:ascii="Times New Roman" w:hAnsi="Times New Roman"/>
          <w:sz w:val="22"/>
          <w:szCs w:val="22"/>
        </w:rPr>
        <w:t xml:space="preserve">is </w:t>
      </w:r>
      <w:r w:rsidRPr="004632D2">
        <w:rPr>
          <w:rFonts w:ascii="Times New Roman" w:hAnsi="Times New Roman"/>
          <w:spacing w:val="-1"/>
          <w:sz w:val="22"/>
          <w:szCs w:val="22"/>
        </w:rPr>
        <w:t>foundational</w:t>
      </w:r>
      <w:r w:rsidRPr="004632D2">
        <w:rPr>
          <w:rFonts w:ascii="Times New Roman" w:hAnsi="Times New Roman"/>
          <w:sz w:val="22"/>
          <w:szCs w:val="22"/>
        </w:rPr>
        <w:t xml:space="preserve"> </w:t>
      </w:r>
      <w:r w:rsidRPr="004632D2">
        <w:rPr>
          <w:rFonts w:ascii="Times New Roman" w:hAnsi="Times New Roman"/>
          <w:spacing w:val="-1"/>
          <w:sz w:val="22"/>
          <w:szCs w:val="22"/>
        </w:rPr>
        <w:t xml:space="preserve">for senior </w:t>
      </w:r>
      <w:r w:rsidRPr="004632D2">
        <w:rPr>
          <w:rFonts w:ascii="Times New Roman" w:hAnsi="Times New Roman"/>
          <w:sz w:val="22"/>
          <w:szCs w:val="22"/>
        </w:rPr>
        <w:t>DoD</w:t>
      </w:r>
      <w:r w:rsidRPr="004632D2">
        <w:rPr>
          <w:rFonts w:ascii="Times New Roman" w:hAnsi="Times New Roman"/>
          <w:spacing w:val="-1"/>
          <w:sz w:val="22"/>
          <w:szCs w:val="22"/>
        </w:rPr>
        <w:t xml:space="preserve"> </w:t>
      </w:r>
      <w:r w:rsidR="004632D2">
        <w:rPr>
          <w:rFonts w:ascii="Times New Roman" w:hAnsi="Times New Roman"/>
          <w:sz w:val="22"/>
          <w:szCs w:val="22"/>
        </w:rPr>
        <w:t>officials</w:t>
      </w:r>
      <w:r w:rsidRPr="004632D2">
        <w:rPr>
          <w:rFonts w:ascii="Times New Roman" w:hAnsi="Times New Roman"/>
          <w:sz w:val="22"/>
          <w:szCs w:val="22"/>
        </w:rPr>
        <w:t xml:space="preserve"> </w:t>
      </w:r>
      <w:r w:rsidRPr="004632D2">
        <w:rPr>
          <w:rFonts w:ascii="Times New Roman" w:hAnsi="Times New Roman"/>
          <w:spacing w:val="-1"/>
          <w:sz w:val="22"/>
          <w:szCs w:val="22"/>
        </w:rPr>
        <w:t>as</w:t>
      </w:r>
      <w:r w:rsidRPr="004632D2">
        <w:rPr>
          <w:rFonts w:ascii="Times New Roman" w:hAnsi="Times New Roman"/>
          <w:sz w:val="22"/>
          <w:szCs w:val="22"/>
        </w:rPr>
        <w:t xml:space="preserve"> they</w:t>
      </w:r>
      <w:r w:rsidRPr="004632D2">
        <w:rPr>
          <w:rFonts w:ascii="Times New Roman" w:hAnsi="Times New Roman"/>
          <w:spacing w:val="-5"/>
          <w:sz w:val="22"/>
          <w:szCs w:val="22"/>
        </w:rPr>
        <w:t xml:space="preserve"> </w:t>
      </w:r>
      <w:r w:rsidRPr="004632D2">
        <w:rPr>
          <w:rFonts w:ascii="Times New Roman" w:hAnsi="Times New Roman"/>
          <w:sz w:val="22"/>
          <w:szCs w:val="22"/>
        </w:rPr>
        <w:t>make</w:t>
      </w:r>
      <w:r w:rsidRPr="004632D2">
        <w:rPr>
          <w:rFonts w:ascii="Times New Roman" w:hAnsi="Times New Roman"/>
          <w:spacing w:val="-1"/>
          <w:sz w:val="22"/>
          <w:szCs w:val="22"/>
        </w:rPr>
        <w:t xml:space="preserve"> assessments</w:t>
      </w:r>
      <w:r w:rsidRPr="004632D2">
        <w:rPr>
          <w:rFonts w:ascii="Times New Roman" w:hAnsi="Times New Roman"/>
          <w:sz w:val="22"/>
          <w:szCs w:val="22"/>
        </w:rPr>
        <w:t xml:space="preserve"> </w:t>
      </w:r>
      <w:r w:rsidRPr="004632D2">
        <w:rPr>
          <w:rFonts w:ascii="Times New Roman" w:hAnsi="Times New Roman"/>
          <w:spacing w:val="-1"/>
          <w:sz w:val="22"/>
          <w:szCs w:val="22"/>
        </w:rPr>
        <w:t>and</w:t>
      </w:r>
      <w:r w:rsidRPr="004632D2">
        <w:rPr>
          <w:rFonts w:ascii="Times New Roman" w:hAnsi="Times New Roman"/>
          <w:sz w:val="22"/>
          <w:szCs w:val="22"/>
        </w:rPr>
        <w:t xml:space="preserve"> </w:t>
      </w:r>
      <w:r w:rsidRPr="004632D2">
        <w:rPr>
          <w:rFonts w:ascii="Times New Roman" w:hAnsi="Times New Roman"/>
          <w:spacing w:val="-1"/>
          <w:sz w:val="22"/>
          <w:szCs w:val="22"/>
        </w:rPr>
        <w:t>decisions</w:t>
      </w:r>
      <w:r w:rsidRPr="004632D2">
        <w:rPr>
          <w:rFonts w:ascii="Times New Roman" w:hAnsi="Times New Roman"/>
          <w:sz w:val="22"/>
          <w:szCs w:val="22"/>
        </w:rPr>
        <w:t xml:space="preserve"> on future</w:t>
      </w:r>
      <w:r w:rsidRPr="004632D2">
        <w:rPr>
          <w:rFonts w:ascii="Times New Roman" w:hAnsi="Times New Roman"/>
          <w:spacing w:val="-1"/>
          <w:sz w:val="22"/>
          <w:szCs w:val="22"/>
        </w:rPr>
        <w:t xml:space="preserve"> force </w:t>
      </w:r>
      <w:r w:rsidRPr="004632D2">
        <w:rPr>
          <w:rFonts w:ascii="Times New Roman" w:hAnsi="Times New Roman"/>
          <w:sz w:val="22"/>
          <w:szCs w:val="22"/>
        </w:rPr>
        <w:t>mix</w:t>
      </w:r>
      <w:r w:rsidRPr="004632D2">
        <w:rPr>
          <w:rFonts w:ascii="Times New Roman" w:hAnsi="Times New Roman"/>
          <w:spacing w:val="2"/>
          <w:sz w:val="22"/>
          <w:szCs w:val="22"/>
        </w:rPr>
        <w:t xml:space="preserve"> </w:t>
      </w:r>
      <w:r w:rsidRPr="004632D2">
        <w:rPr>
          <w:rFonts w:ascii="Times New Roman" w:hAnsi="Times New Roman"/>
          <w:sz w:val="22"/>
          <w:szCs w:val="22"/>
        </w:rPr>
        <w:t xml:space="preserve">options. The office of Cost </w:t>
      </w:r>
      <w:r w:rsidRPr="004632D2">
        <w:rPr>
          <w:rFonts w:ascii="Times New Roman" w:hAnsi="Times New Roman"/>
          <w:spacing w:val="-1"/>
          <w:sz w:val="22"/>
          <w:szCs w:val="22"/>
        </w:rPr>
        <w:t>Assessment</w:t>
      </w:r>
      <w:r w:rsidRPr="004632D2">
        <w:rPr>
          <w:rFonts w:ascii="Times New Roman" w:hAnsi="Times New Roman"/>
          <w:sz w:val="22"/>
          <w:szCs w:val="22"/>
        </w:rPr>
        <w:t xml:space="preserve"> </w:t>
      </w:r>
      <w:r w:rsidRPr="004632D2">
        <w:rPr>
          <w:rFonts w:ascii="Times New Roman" w:hAnsi="Times New Roman"/>
          <w:spacing w:val="-1"/>
          <w:sz w:val="22"/>
          <w:szCs w:val="22"/>
        </w:rPr>
        <w:t>and</w:t>
      </w:r>
      <w:r w:rsidRPr="004632D2">
        <w:rPr>
          <w:rFonts w:ascii="Times New Roman" w:hAnsi="Times New Roman"/>
          <w:sz w:val="22"/>
          <w:szCs w:val="22"/>
        </w:rPr>
        <w:t xml:space="preserve"> </w:t>
      </w:r>
      <w:r w:rsidRPr="004632D2">
        <w:rPr>
          <w:rFonts w:ascii="Times New Roman" w:hAnsi="Times New Roman"/>
          <w:spacing w:val="-1"/>
          <w:sz w:val="22"/>
          <w:szCs w:val="22"/>
        </w:rPr>
        <w:t>Program</w:t>
      </w:r>
      <w:r w:rsidRPr="004632D2">
        <w:rPr>
          <w:rFonts w:ascii="Times New Roman" w:hAnsi="Times New Roman"/>
          <w:sz w:val="22"/>
          <w:szCs w:val="22"/>
        </w:rPr>
        <w:t xml:space="preserve"> </w:t>
      </w:r>
      <w:r w:rsidRPr="004632D2">
        <w:rPr>
          <w:rFonts w:ascii="Times New Roman" w:hAnsi="Times New Roman"/>
          <w:spacing w:val="-1"/>
          <w:sz w:val="22"/>
          <w:szCs w:val="22"/>
        </w:rPr>
        <w:t xml:space="preserve">Evaluation </w:t>
      </w:r>
      <w:r w:rsidR="004632D2">
        <w:rPr>
          <w:rFonts w:ascii="Times New Roman" w:hAnsi="Times New Roman"/>
          <w:spacing w:val="-1"/>
          <w:sz w:val="22"/>
          <w:szCs w:val="22"/>
        </w:rPr>
        <w:t xml:space="preserve">(CAPE) </w:t>
      </w:r>
      <w:r w:rsidRPr="004632D2">
        <w:rPr>
          <w:rFonts w:ascii="Times New Roman" w:hAnsi="Times New Roman"/>
          <w:spacing w:val="-1"/>
          <w:sz w:val="22"/>
          <w:szCs w:val="22"/>
        </w:rPr>
        <w:t xml:space="preserve">originally committed to this endeavor, </w:t>
      </w:r>
      <w:r w:rsidR="004632D2">
        <w:rPr>
          <w:rFonts w:ascii="Times New Roman" w:hAnsi="Times New Roman"/>
          <w:spacing w:val="-1"/>
          <w:sz w:val="22"/>
          <w:szCs w:val="22"/>
        </w:rPr>
        <w:t>but</w:t>
      </w:r>
      <w:r w:rsidRPr="004632D2">
        <w:rPr>
          <w:rFonts w:ascii="Times New Roman" w:hAnsi="Times New Roman"/>
          <w:spacing w:val="-1"/>
          <w:sz w:val="22"/>
          <w:szCs w:val="22"/>
        </w:rPr>
        <w:t xml:space="preserve"> later </w:t>
      </w:r>
      <w:r w:rsidR="004632D2">
        <w:rPr>
          <w:rFonts w:ascii="Times New Roman" w:hAnsi="Times New Roman"/>
          <w:spacing w:val="-1"/>
          <w:sz w:val="22"/>
          <w:szCs w:val="22"/>
        </w:rPr>
        <w:t>ceased</w:t>
      </w:r>
      <w:r w:rsidRPr="004632D2">
        <w:rPr>
          <w:rFonts w:ascii="Times New Roman" w:hAnsi="Times New Roman"/>
          <w:spacing w:val="-1"/>
          <w:sz w:val="22"/>
          <w:szCs w:val="22"/>
        </w:rPr>
        <w:t xml:space="preserve"> support due to the complexity.</w:t>
      </w:r>
    </w:p>
    <w:p w14:paraId="52902C3B" w14:textId="77777777" w:rsidR="00A922EB" w:rsidRPr="004632D2" w:rsidRDefault="00A922EB" w:rsidP="00ED6FCD">
      <w:pPr>
        <w:pStyle w:val="PlainText"/>
        <w:ind w:firstLine="720"/>
        <w:rPr>
          <w:rFonts w:ascii="Times New Roman" w:hAnsi="Times New Roman"/>
          <w:sz w:val="22"/>
          <w:szCs w:val="22"/>
        </w:rPr>
      </w:pPr>
    </w:p>
    <w:p w14:paraId="781DF41B" w14:textId="233C38F4" w:rsidR="00E501FF" w:rsidRPr="004632D2" w:rsidRDefault="00E501FF" w:rsidP="00E501FF">
      <w:pPr>
        <w:tabs>
          <w:tab w:val="left" w:pos="8310"/>
        </w:tabs>
        <w:ind w:firstLine="720"/>
        <w:rPr>
          <w:bCs/>
          <w:sz w:val="22"/>
          <w:szCs w:val="22"/>
        </w:rPr>
      </w:pPr>
      <w:r w:rsidRPr="004632D2">
        <w:rPr>
          <w:sz w:val="22"/>
          <w:szCs w:val="22"/>
        </w:rPr>
        <w:t xml:space="preserve">I am writing you to not only apprise you of the Board’s recent efforts, but to also ask for your full support </w:t>
      </w:r>
      <w:r w:rsidRPr="004632D2">
        <w:rPr>
          <w:bCs/>
          <w:sz w:val="22"/>
          <w:szCs w:val="22"/>
        </w:rPr>
        <w:t>for</w:t>
      </w:r>
      <w:r w:rsidRPr="004632D2">
        <w:rPr>
          <w:bCs/>
          <w:sz w:val="22"/>
          <w:szCs w:val="22"/>
        </w:rPr>
        <w:t xml:space="preserve"> </w:t>
      </w:r>
      <w:r w:rsidRPr="004632D2">
        <w:rPr>
          <w:bCs/>
          <w:sz w:val="22"/>
          <w:szCs w:val="22"/>
        </w:rPr>
        <w:t>the</w:t>
      </w:r>
      <w:r w:rsidRPr="004632D2">
        <w:rPr>
          <w:bCs/>
          <w:sz w:val="22"/>
          <w:szCs w:val="22"/>
        </w:rPr>
        <w:t xml:space="preserve"> ongoing DSR, CRP, and FBLCC efforts led by the Under Secretary of Defense for Personnel and Readiness</w:t>
      </w:r>
      <w:r w:rsidRPr="004632D2">
        <w:rPr>
          <w:bCs/>
          <w:sz w:val="22"/>
          <w:szCs w:val="22"/>
        </w:rPr>
        <w:t>. A commitment from you to</w:t>
      </w:r>
      <w:r w:rsidRPr="004632D2">
        <w:rPr>
          <w:bCs/>
          <w:sz w:val="22"/>
          <w:szCs w:val="22"/>
        </w:rPr>
        <w:t xml:space="preserve"> actively engag</w:t>
      </w:r>
      <w:r w:rsidRPr="004632D2">
        <w:rPr>
          <w:bCs/>
          <w:sz w:val="22"/>
          <w:szCs w:val="22"/>
        </w:rPr>
        <w:t>e</w:t>
      </w:r>
      <w:r w:rsidRPr="004632D2">
        <w:rPr>
          <w:bCs/>
          <w:sz w:val="22"/>
          <w:szCs w:val="22"/>
        </w:rPr>
        <w:t xml:space="preserve"> OMB, Congress, and CAPE</w:t>
      </w:r>
      <w:r w:rsidRPr="004632D2">
        <w:rPr>
          <w:bCs/>
          <w:sz w:val="22"/>
          <w:szCs w:val="22"/>
        </w:rPr>
        <w:t xml:space="preserve"> </w:t>
      </w:r>
      <w:proofErr w:type="gramStart"/>
      <w:r w:rsidRPr="004632D2">
        <w:rPr>
          <w:bCs/>
          <w:sz w:val="22"/>
          <w:szCs w:val="22"/>
        </w:rPr>
        <w:t>in order</w:t>
      </w:r>
      <w:r w:rsidRPr="004632D2">
        <w:rPr>
          <w:bCs/>
          <w:sz w:val="22"/>
          <w:szCs w:val="22"/>
        </w:rPr>
        <w:t xml:space="preserve"> to</w:t>
      </w:r>
      <w:proofErr w:type="gramEnd"/>
      <w:r w:rsidRPr="004632D2">
        <w:rPr>
          <w:bCs/>
          <w:sz w:val="22"/>
          <w:szCs w:val="22"/>
        </w:rPr>
        <w:t xml:space="preserve"> align proposed duty statuses with the required benefits, restore the Chairman’s Reserve Positions, and include Reservists in Fully Burdened Life Cycle Costing</w:t>
      </w:r>
      <w:r w:rsidRPr="004632D2">
        <w:rPr>
          <w:bCs/>
          <w:sz w:val="22"/>
          <w:szCs w:val="22"/>
        </w:rPr>
        <w:t xml:space="preserve"> will prove most beneficial in preparing our Reserve Forces for the complex strategic environment we face.</w:t>
      </w:r>
    </w:p>
    <w:p w14:paraId="4523431D" w14:textId="77777777" w:rsidR="0071058E" w:rsidRPr="004632D2" w:rsidRDefault="0071058E" w:rsidP="00ED6FCD">
      <w:pPr>
        <w:pStyle w:val="PlainText"/>
        <w:ind w:firstLine="720"/>
        <w:rPr>
          <w:rFonts w:ascii="Times New Roman" w:hAnsi="Times New Roman"/>
          <w:sz w:val="22"/>
          <w:szCs w:val="22"/>
        </w:rPr>
      </w:pPr>
    </w:p>
    <w:p w14:paraId="72968A87" w14:textId="77777777" w:rsidR="00C3763B" w:rsidRPr="004632D2" w:rsidRDefault="00B561A4" w:rsidP="00C3763B">
      <w:pPr>
        <w:ind w:firstLine="720"/>
        <w:rPr>
          <w:sz w:val="22"/>
          <w:szCs w:val="22"/>
        </w:rPr>
      </w:pPr>
      <w:r w:rsidRPr="004632D2">
        <w:rPr>
          <w:sz w:val="22"/>
          <w:szCs w:val="22"/>
        </w:rPr>
        <w:t>We sincerely hope you will be able to attend a future RFPB meeting.</w:t>
      </w:r>
      <w:r w:rsidR="00BF11B0" w:rsidRPr="004632D2">
        <w:rPr>
          <w:sz w:val="22"/>
          <w:szCs w:val="22"/>
        </w:rPr>
        <w:t xml:space="preserve">  </w:t>
      </w:r>
      <w:r w:rsidR="00C3763B" w:rsidRPr="004632D2">
        <w:rPr>
          <w:sz w:val="22"/>
          <w:szCs w:val="22"/>
        </w:rPr>
        <w:t xml:space="preserve">If you </w:t>
      </w:r>
      <w:r w:rsidRPr="004632D2">
        <w:rPr>
          <w:sz w:val="22"/>
          <w:szCs w:val="22"/>
        </w:rPr>
        <w:t xml:space="preserve">have questions, </w:t>
      </w:r>
      <w:r w:rsidR="00BF11B0" w:rsidRPr="004632D2">
        <w:rPr>
          <w:sz w:val="22"/>
          <w:szCs w:val="22"/>
        </w:rPr>
        <w:t xml:space="preserve">would like </w:t>
      </w:r>
      <w:r w:rsidRPr="004632D2">
        <w:rPr>
          <w:sz w:val="22"/>
          <w:szCs w:val="22"/>
        </w:rPr>
        <w:t>additional information, or have a topic for the board to consider</w:t>
      </w:r>
      <w:r w:rsidR="00C3763B" w:rsidRPr="004632D2">
        <w:rPr>
          <w:sz w:val="22"/>
          <w:szCs w:val="22"/>
        </w:rPr>
        <w:t>, I can be re</w:t>
      </w:r>
      <w:r w:rsidR="00F614C0" w:rsidRPr="004632D2">
        <w:rPr>
          <w:sz w:val="22"/>
          <w:szCs w:val="22"/>
        </w:rPr>
        <w:t>ached directly at (703) 942-5770</w:t>
      </w:r>
      <w:r w:rsidR="00C3763B" w:rsidRPr="004632D2">
        <w:rPr>
          <w:sz w:val="22"/>
          <w:szCs w:val="22"/>
        </w:rPr>
        <w:t xml:space="preserve"> </w:t>
      </w:r>
      <w:r w:rsidR="00F614C0" w:rsidRPr="004632D2">
        <w:rPr>
          <w:sz w:val="22"/>
          <w:szCs w:val="22"/>
        </w:rPr>
        <w:t xml:space="preserve">or </w:t>
      </w:r>
      <w:r w:rsidR="00E7130B" w:rsidRPr="004632D2">
        <w:rPr>
          <w:sz w:val="22"/>
          <w:szCs w:val="22"/>
        </w:rPr>
        <w:t>by</w:t>
      </w:r>
      <w:r w:rsidR="00F614C0" w:rsidRPr="004632D2">
        <w:rPr>
          <w:sz w:val="22"/>
          <w:szCs w:val="22"/>
        </w:rPr>
        <w:t xml:space="preserve"> email at </w:t>
      </w:r>
      <w:hyperlink r:id="rId7" w:history="1">
        <w:r w:rsidR="00F614C0" w:rsidRPr="004632D2">
          <w:rPr>
            <w:rStyle w:val="Hyperlink"/>
            <w:sz w:val="22"/>
            <w:szCs w:val="22"/>
          </w:rPr>
          <w:t>apunaro@punarogroup.com</w:t>
        </w:r>
      </w:hyperlink>
      <w:r w:rsidR="00F614C0" w:rsidRPr="004632D2">
        <w:rPr>
          <w:sz w:val="22"/>
          <w:szCs w:val="22"/>
        </w:rPr>
        <w:t xml:space="preserve">.  </w:t>
      </w:r>
    </w:p>
    <w:p w14:paraId="144D45CC" w14:textId="77777777" w:rsidR="00C3763B" w:rsidRPr="004632D2" w:rsidRDefault="00C3763B" w:rsidP="00C3763B">
      <w:pPr>
        <w:pStyle w:val="PlainText"/>
        <w:rPr>
          <w:rFonts w:ascii="Times New Roman" w:hAnsi="Times New Roman"/>
          <w:sz w:val="22"/>
          <w:szCs w:val="22"/>
        </w:rPr>
      </w:pPr>
    </w:p>
    <w:p w14:paraId="6F58D5C8" w14:textId="0416302F" w:rsidR="00C3763B" w:rsidRPr="004632D2" w:rsidRDefault="00C3763B" w:rsidP="00E501FF">
      <w:pPr>
        <w:pStyle w:val="PlainText"/>
        <w:rPr>
          <w:sz w:val="22"/>
          <w:szCs w:val="22"/>
        </w:rPr>
      </w:pPr>
      <w:r w:rsidRPr="004632D2">
        <w:rPr>
          <w:rFonts w:ascii="Times New Roman" w:hAnsi="Times New Roman"/>
          <w:sz w:val="22"/>
          <w:szCs w:val="22"/>
        </w:rPr>
        <w:t xml:space="preserve"> </w:t>
      </w:r>
      <w:r w:rsidRPr="004632D2">
        <w:rPr>
          <w:rFonts w:ascii="Times New Roman" w:hAnsi="Times New Roman"/>
          <w:sz w:val="22"/>
          <w:szCs w:val="22"/>
        </w:rPr>
        <w:tab/>
      </w:r>
      <w:r w:rsidRPr="004632D2">
        <w:rPr>
          <w:rFonts w:ascii="Times New Roman" w:hAnsi="Times New Roman"/>
          <w:sz w:val="22"/>
          <w:szCs w:val="22"/>
        </w:rPr>
        <w:tab/>
      </w:r>
      <w:r w:rsidRPr="004632D2">
        <w:rPr>
          <w:rFonts w:ascii="Times New Roman" w:hAnsi="Times New Roman"/>
          <w:sz w:val="22"/>
          <w:szCs w:val="22"/>
        </w:rPr>
        <w:tab/>
      </w:r>
      <w:r w:rsidRPr="004632D2">
        <w:rPr>
          <w:rFonts w:ascii="Times New Roman" w:hAnsi="Times New Roman"/>
          <w:sz w:val="22"/>
          <w:szCs w:val="22"/>
        </w:rPr>
        <w:tab/>
      </w:r>
      <w:r w:rsidRPr="004632D2">
        <w:rPr>
          <w:rFonts w:ascii="Times New Roman" w:hAnsi="Times New Roman"/>
          <w:sz w:val="22"/>
          <w:szCs w:val="22"/>
        </w:rPr>
        <w:tab/>
      </w:r>
      <w:r w:rsidRPr="004632D2">
        <w:rPr>
          <w:rFonts w:ascii="Times New Roman" w:hAnsi="Times New Roman"/>
          <w:sz w:val="22"/>
          <w:szCs w:val="22"/>
        </w:rPr>
        <w:tab/>
        <w:t>Sincerely,</w:t>
      </w:r>
    </w:p>
    <w:p w14:paraId="4C9B336C" w14:textId="62431F1D" w:rsidR="004632D2" w:rsidRDefault="004632D2" w:rsidP="00C3763B">
      <w:pPr>
        <w:ind w:left="3600" w:firstLine="720"/>
        <w:rPr>
          <w:sz w:val="22"/>
          <w:szCs w:val="22"/>
        </w:rPr>
      </w:pPr>
      <w:r w:rsidRPr="00C2224D">
        <w:rPr>
          <w:noProof/>
          <w:szCs w:val="24"/>
        </w:rPr>
        <w:drawing>
          <wp:anchor distT="0" distB="0" distL="114300" distR="114300" simplePos="0" relativeHeight="251659264" behindDoc="1" locked="0" layoutInCell="1" allowOverlap="1" wp14:anchorId="146153EB" wp14:editId="595C93D1">
            <wp:simplePos x="0" y="0"/>
            <wp:positionH relativeFrom="column">
              <wp:posOffset>2727630</wp:posOffset>
            </wp:positionH>
            <wp:positionV relativeFrom="paragraph">
              <wp:posOffset>78867</wp:posOffset>
            </wp:positionV>
            <wp:extent cx="1207770" cy="534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534670"/>
                    </a:xfrm>
                    <a:prstGeom prst="rect">
                      <a:avLst/>
                    </a:prstGeom>
                    <a:noFill/>
                    <a:ln>
                      <a:noFill/>
                    </a:ln>
                  </pic:spPr>
                </pic:pic>
              </a:graphicData>
            </a:graphic>
          </wp:anchor>
        </w:drawing>
      </w:r>
    </w:p>
    <w:p w14:paraId="0C685B0D" w14:textId="3553F2A6" w:rsidR="004632D2" w:rsidRDefault="004632D2" w:rsidP="00C3763B">
      <w:pPr>
        <w:ind w:left="3600" w:firstLine="720"/>
        <w:rPr>
          <w:sz w:val="22"/>
          <w:szCs w:val="22"/>
        </w:rPr>
      </w:pPr>
    </w:p>
    <w:p w14:paraId="1D9AD22F" w14:textId="77777777" w:rsidR="004632D2" w:rsidRDefault="004632D2" w:rsidP="00C3763B">
      <w:pPr>
        <w:ind w:left="3600" w:firstLine="720"/>
        <w:rPr>
          <w:sz w:val="22"/>
          <w:szCs w:val="22"/>
        </w:rPr>
      </w:pPr>
    </w:p>
    <w:p w14:paraId="48EB6999" w14:textId="77777777" w:rsidR="004632D2" w:rsidRDefault="004632D2" w:rsidP="00C3763B">
      <w:pPr>
        <w:ind w:left="3600" w:firstLine="720"/>
        <w:rPr>
          <w:sz w:val="22"/>
          <w:szCs w:val="22"/>
        </w:rPr>
      </w:pPr>
    </w:p>
    <w:p w14:paraId="3E0E4122" w14:textId="30EB2B5D" w:rsidR="00C3763B" w:rsidRPr="004632D2" w:rsidRDefault="00C3763B" w:rsidP="00C3763B">
      <w:pPr>
        <w:ind w:left="3600" w:firstLine="720"/>
        <w:rPr>
          <w:sz w:val="22"/>
          <w:szCs w:val="22"/>
        </w:rPr>
      </w:pPr>
      <w:r w:rsidRPr="004632D2">
        <w:rPr>
          <w:sz w:val="22"/>
          <w:szCs w:val="22"/>
        </w:rPr>
        <w:t>Arnold L. Punaro</w:t>
      </w:r>
    </w:p>
    <w:p w14:paraId="60FA6704" w14:textId="77777777" w:rsidR="004632D2" w:rsidRDefault="00C3763B" w:rsidP="004632D2">
      <w:pPr>
        <w:ind w:left="3600" w:firstLine="720"/>
        <w:rPr>
          <w:sz w:val="22"/>
          <w:szCs w:val="22"/>
        </w:rPr>
      </w:pPr>
      <w:r w:rsidRPr="004632D2">
        <w:rPr>
          <w:sz w:val="22"/>
          <w:szCs w:val="22"/>
        </w:rPr>
        <w:t>MajGen, USMCR (Ret)</w:t>
      </w:r>
    </w:p>
    <w:p w14:paraId="50E3E3E0" w14:textId="370F4C99" w:rsidR="007600DA" w:rsidRPr="004632D2" w:rsidRDefault="00C3763B" w:rsidP="004632D2">
      <w:pPr>
        <w:ind w:left="3600" w:firstLine="720"/>
        <w:rPr>
          <w:sz w:val="22"/>
          <w:szCs w:val="22"/>
        </w:rPr>
      </w:pPr>
      <w:r w:rsidRPr="004632D2">
        <w:rPr>
          <w:sz w:val="22"/>
          <w:szCs w:val="22"/>
        </w:rPr>
        <w:t>Chairman</w:t>
      </w:r>
    </w:p>
    <w:sectPr w:rsidR="007600DA" w:rsidRPr="004632D2" w:rsidSect="004632D2">
      <w:headerReference w:type="first" r:id="rId9"/>
      <w:pgSz w:w="12240" w:h="15840" w:code="1"/>
      <w:pgMar w:top="1440" w:right="1440" w:bottom="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66E3" w14:textId="77777777" w:rsidR="00243000" w:rsidRDefault="00243000">
      <w:r>
        <w:separator/>
      </w:r>
    </w:p>
  </w:endnote>
  <w:endnote w:type="continuationSeparator" w:id="0">
    <w:p w14:paraId="608C5C33" w14:textId="77777777" w:rsidR="00243000" w:rsidRDefault="0024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47FC" w14:textId="77777777" w:rsidR="00243000" w:rsidRDefault="00243000">
      <w:r>
        <w:separator/>
      </w:r>
    </w:p>
  </w:footnote>
  <w:footnote w:type="continuationSeparator" w:id="0">
    <w:p w14:paraId="1CF63D04" w14:textId="77777777" w:rsidR="00243000" w:rsidRDefault="00243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4824" w14:textId="77777777" w:rsidR="008A765C" w:rsidRPr="006B70F9" w:rsidRDefault="008A765C" w:rsidP="00C62922">
    <w:pPr>
      <w:pStyle w:val="Header"/>
    </w:pPr>
    <w:bookmarkStart w:id="0" w:name="OLE_LINK1"/>
    <w:bookmarkStart w:id="1" w:name="OLE_LINK2"/>
    <w:bookmarkStart w:id="2" w:name="_Hlk272406694"/>
    <w:r>
      <w:rPr>
        <w:noProof/>
      </w:rPr>
      <w:drawing>
        <wp:anchor distT="0" distB="0" distL="114300" distR="114300" simplePos="0" relativeHeight="251657728" behindDoc="1" locked="0" layoutInCell="1" allowOverlap="1" wp14:anchorId="3839A2C5" wp14:editId="16262A93">
          <wp:simplePos x="0" y="0"/>
          <wp:positionH relativeFrom="column">
            <wp:posOffset>-457200</wp:posOffset>
          </wp:positionH>
          <wp:positionV relativeFrom="paragraph">
            <wp:posOffset>107315</wp:posOffset>
          </wp:positionV>
          <wp:extent cx="962025" cy="981075"/>
          <wp:effectExtent l="19050" t="0" r="9525" b="0"/>
          <wp:wrapNone/>
          <wp:docPr id="1" name="Picture 2"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seal Blue"/>
                  <pic:cNvPicPr>
                    <a:picLocks noChangeAspect="1" noChangeArrowheads="1"/>
                  </pic:cNvPicPr>
                </pic:nvPicPr>
                <pic:blipFill>
                  <a:blip r:embed="rId1"/>
                  <a:srcRect/>
                  <a:stretch>
                    <a:fillRect/>
                  </a:stretch>
                </pic:blipFill>
                <pic:spPr bwMode="auto">
                  <a:xfrm>
                    <a:off x="0" y="0"/>
                    <a:ext cx="962025" cy="981075"/>
                  </a:xfrm>
                  <a:prstGeom prst="rect">
                    <a:avLst/>
                  </a:prstGeom>
                  <a:noFill/>
                  <a:ln w="9525">
                    <a:noFill/>
                    <a:miter lim="800000"/>
                    <a:headEnd/>
                    <a:tailEnd/>
                  </a:ln>
                </pic:spPr>
              </pic:pic>
            </a:graphicData>
          </a:graphic>
        </wp:anchor>
      </w:drawing>
    </w:r>
  </w:p>
  <w:bookmarkEnd w:id="0"/>
  <w:bookmarkEnd w:id="1"/>
  <w:bookmarkEnd w:id="2"/>
  <w:p w14:paraId="508A5742" w14:textId="77777777" w:rsidR="008A765C" w:rsidRPr="00F915A7" w:rsidRDefault="008A765C" w:rsidP="00C62922">
    <w:pPr>
      <w:framePr w:w="6864" w:wrap="auto" w:vAnchor="page" w:hAnchor="page" w:x="2701" w:y="721"/>
      <w:widowControl w:val="0"/>
      <w:autoSpaceDE w:val="0"/>
      <w:autoSpaceDN w:val="0"/>
      <w:adjustRightInd w:val="0"/>
      <w:spacing w:line="240" w:lineRule="exact"/>
      <w:jc w:val="center"/>
      <w:rPr>
        <w:rFonts w:ascii="Microsoft JhengHei" w:eastAsia="Microsoft JhengHei" w:hAnsi="Microsoft JhengHei" w:cs="Leelawadee UI"/>
        <w:b/>
        <w:bCs/>
        <w:color w:val="003366"/>
      </w:rPr>
    </w:pPr>
    <w:r>
      <w:rPr>
        <w:rFonts w:ascii="Arial" w:eastAsia="Arial Unicode MS" w:hAnsi="Arial" w:cs="Arial"/>
        <w:b/>
        <w:bCs/>
        <w:color w:val="003366"/>
      </w:rPr>
      <w:t xml:space="preserve">     </w:t>
    </w:r>
    <w:r w:rsidRPr="00F915A7">
      <w:rPr>
        <w:rFonts w:ascii="Microsoft JhengHei" w:eastAsia="Microsoft JhengHei" w:hAnsi="Microsoft JhengHei" w:cs="Leelawadee UI"/>
        <w:b/>
        <w:bCs/>
        <w:color w:val="003366"/>
      </w:rPr>
      <w:t>OFFICE OF THE SECRETARY OF DEFENSE</w:t>
    </w:r>
  </w:p>
  <w:p w14:paraId="66425212" w14:textId="77777777" w:rsidR="00F55545" w:rsidRPr="00F915A7" w:rsidRDefault="00F55545" w:rsidP="00C62922">
    <w:pPr>
      <w:framePr w:w="6864" w:wrap="auto" w:vAnchor="page" w:hAnchor="page" w:x="2701" w:y="721"/>
      <w:widowControl w:val="0"/>
      <w:autoSpaceDE w:val="0"/>
      <w:autoSpaceDN w:val="0"/>
      <w:adjustRightInd w:val="0"/>
      <w:spacing w:line="240" w:lineRule="exact"/>
      <w:jc w:val="center"/>
      <w:rPr>
        <w:rFonts w:ascii="Microsoft JhengHei" w:eastAsia="Microsoft JhengHei" w:hAnsi="Microsoft JhengHei" w:cs="Leelawadee UI"/>
        <w:b/>
        <w:bCs/>
        <w:color w:val="003366"/>
      </w:rPr>
    </w:pPr>
    <w:r w:rsidRPr="00F915A7">
      <w:rPr>
        <w:rFonts w:ascii="Microsoft JhengHei" w:eastAsia="Microsoft JhengHei" w:hAnsi="Microsoft JhengHei" w:cs="Leelawadee UI"/>
        <w:b/>
        <w:bCs/>
        <w:color w:val="003366"/>
      </w:rPr>
      <w:t>RESERVE FORCES POLICY BOARD</w:t>
    </w:r>
  </w:p>
  <w:p w14:paraId="1953673D" w14:textId="52365BA9" w:rsidR="008A765C" w:rsidRPr="00F915A7" w:rsidRDefault="008A765C" w:rsidP="00C62922">
    <w:pPr>
      <w:framePr w:w="6864" w:wrap="auto" w:vAnchor="page" w:hAnchor="page" w:x="2701" w:y="721"/>
      <w:widowControl w:val="0"/>
      <w:autoSpaceDE w:val="0"/>
      <w:autoSpaceDN w:val="0"/>
      <w:adjustRightInd w:val="0"/>
      <w:spacing w:line="240" w:lineRule="exact"/>
      <w:jc w:val="center"/>
      <w:rPr>
        <w:rFonts w:ascii="Microsoft JhengHei" w:eastAsia="Microsoft JhengHei" w:hAnsi="Microsoft JhengHei" w:cs="Leelawadee UI"/>
        <w:b/>
        <w:color w:val="003366"/>
        <w:sz w:val="18"/>
        <w:szCs w:val="18"/>
      </w:rPr>
    </w:pPr>
    <w:r w:rsidRPr="00F915A7">
      <w:rPr>
        <w:rFonts w:ascii="Microsoft JhengHei" w:eastAsia="Microsoft JhengHei" w:hAnsi="Microsoft JhengHei" w:cs="Leelawadee UI"/>
        <w:b/>
        <w:color w:val="003366"/>
        <w:sz w:val="18"/>
        <w:szCs w:val="18"/>
      </w:rPr>
      <w:t xml:space="preserve">     51</w:t>
    </w:r>
    <w:r w:rsidR="006E67FD" w:rsidRPr="00F915A7">
      <w:rPr>
        <w:rFonts w:ascii="Microsoft JhengHei" w:eastAsia="Microsoft JhengHei" w:hAnsi="Microsoft JhengHei" w:cs="Leelawadee UI"/>
        <w:b/>
        <w:color w:val="003366"/>
        <w:sz w:val="18"/>
        <w:szCs w:val="18"/>
      </w:rPr>
      <w:t>09</w:t>
    </w:r>
    <w:r w:rsidRPr="00F915A7">
      <w:rPr>
        <w:rFonts w:ascii="Microsoft JhengHei" w:eastAsia="Microsoft JhengHei" w:hAnsi="Microsoft JhengHei" w:cs="Leelawadee UI"/>
        <w:b/>
        <w:color w:val="003366"/>
        <w:sz w:val="18"/>
        <w:szCs w:val="18"/>
      </w:rPr>
      <w:t xml:space="preserve"> Leesburg Pike, Suite </w:t>
    </w:r>
    <w:r w:rsidR="006E67FD" w:rsidRPr="00F915A7">
      <w:rPr>
        <w:rFonts w:ascii="Microsoft JhengHei" w:eastAsia="Microsoft JhengHei" w:hAnsi="Microsoft JhengHei" w:cs="Leelawadee UI"/>
        <w:b/>
        <w:color w:val="003366"/>
        <w:sz w:val="18"/>
        <w:szCs w:val="18"/>
      </w:rPr>
      <w:t>5</w:t>
    </w:r>
    <w:r w:rsidRPr="00F915A7">
      <w:rPr>
        <w:rFonts w:ascii="Microsoft JhengHei" w:eastAsia="Microsoft JhengHei" w:hAnsi="Microsoft JhengHei" w:cs="Leelawadee UI"/>
        <w:b/>
        <w:color w:val="003366"/>
        <w:sz w:val="18"/>
        <w:szCs w:val="18"/>
      </w:rPr>
      <w:t>01</w:t>
    </w:r>
  </w:p>
  <w:p w14:paraId="2FAC5BD0" w14:textId="77777777" w:rsidR="008A765C" w:rsidRPr="00F915A7" w:rsidRDefault="008A765C" w:rsidP="00C62922">
    <w:pPr>
      <w:framePr w:w="6864" w:wrap="auto" w:vAnchor="page" w:hAnchor="page" w:x="2701" w:y="721"/>
      <w:widowControl w:val="0"/>
      <w:autoSpaceDE w:val="0"/>
      <w:autoSpaceDN w:val="0"/>
      <w:adjustRightInd w:val="0"/>
      <w:spacing w:line="240" w:lineRule="exact"/>
      <w:jc w:val="center"/>
      <w:rPr>
        <w:rFonts w:ascii="Microsoft JhengHei" w:eastAsia="Microsoft JhengHei" w:hAnsi="Microsoft JhengHei" w:cs="Leelawadee UI"/>
        <w:b/>
        <w:color w:val="003366"/>
        <w:sz w:val="18"/>
        <w:szCs w:val="18"/>
      </w:rPr>
    </w:pPr>
    <w:r w:rsidRPr="00F915A7">
      <w:rPr>
        <w:rFonts w:ascii="Microsoft JhengHei" w:eastAsia="Microsoft JhengHei" w:hAnsi="Microsoft JhengHei" w:cs="Leelawadee UI"/>
        <w:b/>
        <w:color w:val="003366"/>
        <w:sz w:val="18"/>
        <w:szCs w:val="18"/>
      </w:rPr>
      <w:t xml:space="preserve">    FALLS CHURCH, VA 22041</w:t>
    </w:r>
  </w:p>
  <w:p w14:paraId="024B0D70" w14:textId="77777777" w:rsidR="00291374" w:rsidRPr="00F915A7" w:rsidRDefault="00F55545" w:rsidP="00C62922">
    <w:pPr>
      <w:framePr w:w="1771" w:wrap="auto" w:vAnchor="page" w:hAnchor="page" w:x="541" w:y="2341"/>
      <w:widowControl w:val="0"/>
      <w:autoSpaceDE w:val="0"/>
      <w:autoSpaceDN w:val="0"/>
      <w:adjustRightInd w:val="0"/>
      <w:jc w:val="center"/>
      <w:rPr>
        <w:rFonts w:ascii="Microsoft JhengHei" w:eastAsia="Microsoft JhengHei" w:hAnsi="Microsoft JhengHei" w:cs="Arial"/>
        <w:b/>
        <w:color w:val="003366"/>
        <w:sz w:val="14"/>
        <w:szCs w:val="14"/>
      </w:rPr>
    </w:pPr>
    <w:r w:rsidRPr="00F915A7">
      <w:rPr>
        <w:rFonts w:ascii="Microsoft JhengHei" w:eastAsia="Microsoft JhengHei" w:hAnsi="Microsoft JhengHei" w:cs="Arial"/>
        <w:b/>
        <w:color w:val="003366"/>
        <w:sz w:val="14"/>
        <w:szCs w:val="14"/>
      </w:rPr>
      <w:t>CHAIRMAN</w:t>
    </w:r>
  </w:p>
  <w:p w14:paraId="144F311F" w14:textId="77777777" w:rsidR="008A765C" w:rsidRPr="00C62922" w:rsidRDefault="008A765C" w:rsidP="00C62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F24"/>
    <w:multiLevelType w:val="hybridMultilevel"/>
    <w:tmpl w:val="D8C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94F6B"/>
    <w:multiLevelType w:val="hybridMultilevel"/>
    <w:tmpl w:val="87880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B0977"/>
    <w:multiLevelType w:val="hybridMultilevel"/>
    <w:tmpl w:val="45566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55046"/>
    <w:multiLevelType w:val="hybridMultilevel"/>
    <w:tmpl w:val="A7C02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FF"/>
    <w:rsid w:val="00016346"/>
    <w:rsid w:val="0001799E"/>
    <w:rsid w:val="00025EE1"/>
    <w:rsid w:val="00076095"/>
    <w:rsid w:val="00076517"/>
    <w:rsid w:val="00080583"/>
    <w:rsid w:val="0008145D"/>
    <w:rsid w:val="00091FD3"/>
    <w:rsid w:val="000A40DD"/>
    <w:rsid w:val="000B2FCF"/>
    <w:rsid w:val="000C0C4D"/>
    <w:rsid w:val="000E0839"/>
    <w:rsid w:val="000E6C91"/>
    <w:rsid w:val="000E7F7A"/>
    <w:rsid w:val="000F7EA0"/>
    <w:rsid w:val="001001AA"/>
    <w:rsid w:val="00106504"/>
    <w:rsid w:val="00165935"/>
    <w:rsid w:val="00170297"/>
    <w:rsid w:val="00175382"/>
    <w:rsid w:val="00183D70"/>
    <w:rsid w:val="00195D93"/>
    <w:rsid w:val="001A56B1"/>
    <w:rsid w:val="001C447D"/>
    <w:rsid w:val="001D0C8F"/>
    <w:rsid w:val="001D5A67"/>
    <w:rsid w:val="00220AE6"/>
    <w:rsid w:val="00231AF8"/>
    <w:rsid w:val="00231CA3"/>
    <w:rsid w:val="00232ABD"/>
    <w:rsid w:val="00240C68"/>
    <w:rsid w:val="00243000"/>
    <w:rsid w:val="00277EF1"/>
    <w:rsid w:val="00282C7D"/>
    <w:rsid w:val="00285A5A"/>
    <w:rsid w:val="00291374"/>
    <w:rsid w:val="00291878"/>
    <w:rsid w:val="00292792"/>
    <w:rsid w:val="0029495F"/>
    <w:rsid w:val="002B0A3F"/>
    <w:rsid w:val="002D3EFB"/>
    <w:rsid w:val="00311055"/>
    <w:rsid w:val="00327D25"/>
    <w:rsid w:val="00344968"/>
    <w:rsid w:val="00362AE8"/>
    <w:rsid w:val="00375A5D"/>
    <w:rsid w:val="003B46CE"/>
    <w:rsid w:val="003F6560"/>
    <w:rsid w:val="003F6ACC"/>
    <w:rsid w:val="00400A52"/>
    <w:rsid w:val="00406B6B"/>
    <w:rsid w:val="00410FE5"/>
    <w:rsid w:val="004160D3"/>
    <w:rsid w:val="00425F37"/>
    <w:rsid w:val="00434F96"/>
    <w:rsid w:val="004545DB"/>
    <w:rsid w:val="004547CB"/>
    <w:rsid w:val="004632D2"/>
    <w:rsid w:val="0048002E"/>
    <w:rsid w:val="004A226E"/>
    <w:rsid w:val="004B2885"/>
    <w:rsid w:val="004B6D8F"/>
    <w:rsid w:val="004B7FE8"/>
    <w:rsid w:val="004E4C00"/>
    <w:rsid w:val="004F4BFD"/>
    <w:rsid w:val="00502294"/>
    <w:rsid w:val="005031BA"/>
    <w:rsid w:val="00553B38"/>
    <w:rsid w:val="00572AF0"/>
    <w:rsid w:val="00573EB3"/>
    <w:rsid w:val="00587AFD"/>
    <w:rsid w:val="005947B7"/>
    <w:rsid w:val="00594E51"/>
    <w:rsid w:val="005C52FB"/>
    <w:rsid w:val="005D004B"/>
    <w:rsid w:val="005F265D"/>
    <w:rsid w:val="0060293A"/>
    <w:rsid w:val="00605D86"/>
    <w:rsid w:val="006121D8"/>
    <w:rsid w:val="006309D8"/>
    <w:rsid w:val="00632316"/>
    <w:rsid w:val="00674014"/>
    <w:rsid w:val="00684C45"/>
    <w:rsid w:val="00693EE1"/>
    <w:rsid w:val="006A13C8"/>
    <w:rsid w:val="006C202F"/>
    <w:rsid w:val="006C67A9"/>
    <w:rsid w:val="006E67FD"/>
    <w:rsid w:val="0071058E"/>
    <w:rsid w:val="00725897"/>
    <w:rsid w:val="0073314C"/>
    <w:rsid w:val="007600DA"/>
    <w:rsid w:val="007B3664"/>
    <w:rsid w:val="007F0169"/>
    <w:rsid w:val="0080419D"/>
    <w:rsid w:val="00807CA4"/>
    <w:rsid w:val="0082578A"/>
    <w:rsid w:val="0083290F"/>
    <w:rsid w:val="008A765C"/>
    <w:rsid w:val="008D2E94"/>
    <w:rsid w:val="008D4966"/>
    <w:rsid w:val="008E5C88"/>
    <w:rsid w:val="008F72F3"/>
    <w:rsid w:val="00921981"/>
    <w:rsid w:val="00927912"/>
    <w:rsid w:val="009507A7"/>
    <w:rsid w:val="00953CF7"/>
    <w:rsid w:val="00972E42"/>
    <w:rsid w:val="009D0EF8"/>
    <w:rsid w:val="009E3655"/>
    <w:rsid w:val="00A03DC5"/>
    <w:rsid w:val="00A27291"/>
    <w:rsid w:val="00A8325A"/>
    <w:rsid w:val="00A922EB"/>
    <w:rsid w:val="00AA5300"/>
    <w:rsid w:val="00AB181E"/>
    <w:rsid w:val="00AB42B4"/>
    <w:rsid w:val="00AB72EB"/>
    <w:rsid w:val="00AC5A85"/>
    <w:rsid w:val="00AC6F3A"/>
    <w:rsid w:val="00AE44CF"/>
    <w:rsid w:val="00AF2886"/>
    <w:rsid w:val="00AF3C59"/>
    <w:rsid w:val="00B0593F"/>
    <w:rsid w:val="00B10945"/>
    <w:rsid w:val="00B118EA"/>
    <w:rsid w:val="00B22946"/>
    <w:rsid w:val="00B36051"/>
    <w:rsid w:val="00B522FF"/>
    <w:rsid w:val="00B561A4"/>
    <w:rsid w:val="00B71AE1"/>
    <w:rsid w:val="00BF11B0"/>
    <w:rsid w:val="00BF7C61"/>
    <w:rsid w:val="00C14F3D"/>
    <w:rsid w:val="00C3763B"/>
    <w:rsid w:val="00C45263"/>
    <w:rsid w:val="00C62922"/>
    <w:rsid w:val="00C92A97"/>
    <w:rsid w:val="00CA65C0"/>
    <w:rsid w:val="00CB1D2F"/>
    <w:rsid w:val="00CB74D9"/>
    <w:rsid w:val="00CD3ADB"/>
    <w:rsid w:val="00D336F4"/>
    <w:rsid w:val="00D72239"/>
    <w:rsid w:val="00D85AD4"/>
    <w:rsid w:val="00D96A44"/>
    <w:rsid w:val="00DA5905"/>
    <w:rsid w:val="00DE528B"/>
    <w:rsid w:val="00E01ECE"/>
    <w:rsid w:val="00E13BFF"/>
    <w:rsid w:val="00E16616"/>
    <w:rsid w:val="00E17264"/>
    <w:rsid w:val="00E17B70"/>
    <w:rsid w:val="00E24516"/>
    <w:rsid w:val="00E24C1E"/>
    <w:rsid w:val="00E27C95"/>
    <w:rsid w:val="00E361EF"/>
    <w:rsid w:val="00E501FF"/>
    <w:rsid w:val="00E700C9"/>
    <w:rsid w:val="00E7130B"/>
    <w:rsid w:val="00E73C89"/>
    <w:rsid w:val="00E73E06"/>
    <w:rsid w:val="00E760FF"/>
    <w:rsid w:val="00E77E3F"/>
    <w:rsid w:val="00E808AF"/>
    <w:rsid w:val="00E957DE"/>
    <w:rsid w:val="00EB1179"/>
    <w:rsid w:val="00EB4D75"/>
    <w:rsid w:val="00EC0E4F"/>
    <w:rsid w:val="00EC58FF"/>
    <w:rsid w:val="00ED439F"/>
    <w:rsid w:val="00ED6FCD"/>
    <w:rsid w:val="00EE2B04"/>
    <w:rsid w:val="00EE5B32"/>
    <w:rsid w:val="00EF5BF4"/>
    <w:rsid w:val="00F16E93"/>
    <w:rsid w:val="00F17B48"/>
    <w:rsid w:val="00F5323B"/>
    <w:rsid w:val="00F55545"/>
    <w:rsid w:val="00F57D90"/>
    <w:rsid w:val="00F614C0"/>
    <w:rsid w:val="00F915A7"/>
    <w:rsid w:val="00F94BAF"/>
    <w:rsid w:val="00FA0245"/>
    <w:rsid w:val="00FD6FDC"/>
    <w:rsid w:val="00FE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45B812F"/>
  <w15:docId w15:val="{C26AC81E-2137-47A1-BD8C-463E9624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AF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2FF"/>
    <w:pPr>
      <w:tabs>
        <w:tab w:val="center" w:pos="4320"/>
        <w:tab w:val="right" w:pos="8640"/>
      </w:tabs>
    </w:pPr>
  </w:style>
  <w:style w:type="paragraph" w:styleId="Footer">
    <w:name w:val="footer"/>
    <w:basedOn w:val="Normal"/>
    <w:rsid w:val="00B522FF"/>
    <w:pPr>
      <w:tabs>
        <w:tab w:val="center" w:pos="4320"/>
        <w:tab w:val="right" w:pos="8640"/>
      </w:tabs>
    </w:pPr>
  </w:style>
  <w:style w:type="paragraph" w:styleId="BalloonText">
    <w:name w:val="Balloon Text"/>
    <w:basedOn w:val="Normal"/>
    <w:semiHidden/>
    <w:rsid w:val="00B522FF"/>
    <w:rPr>
      <w:rFonts w:ascii="Tahoma" w:hAnsi="Tahoma" w:cs="Tahoma"/>
      <w:sz w:val="16"/>
      <w:szCs w:val="16"/>
    </w:rPr>
  </w:style>
  <w:style w:type="paragraph" w:styleId="BodyText">
    <w:name w:val="Body Text"/>
    <w:basedOn w:val="Normal"/>
    <w:rsid w:val="00231AF8"/>
    <w:rPr>
      <w:b/>
    </w:rPr>
  </w:style>
  <w:style w:type="paragraph" w:styleId="PlainText">
    <w:name w:val="Plain Text"/>
    <w:basedOn w:val="Normal"/>
    <w:link w:val="PlainTextChar"/>
    <w:uiPriority w:val="99"/>
    <w:unhideWhenUsed/>
    <w:rsid w:val="009507A7"/>
    <w:rPr>
      <w:rFonts w:ascii="Courier New" w:hAnsi="Courier New"/>
      <w:sz w:val="20"/>
    </w:rPr>
  </w:style>
  <w:style w:type="character" w:customStyle="1" w:styleId="PlainTextChar">
    <w:name w:val="Plain Text Char"/>
    <w:basedOn w:val="DefaultParagraphFont"/>
    <w:link w:val="PlainText"/>
    <w:uiPriority w:val="99"/>
    <w:rsid w:val="009507A7"/>
    <w:rPr>
      <w:rFonts w:ascii="Courier New" w:hAnsi="Courier New"/>
    </w:rPr>
  </w:style>
  <w:style w:type="paragraph" w:styleId="ListParagraph">
    <w:name w:val="List Paragraph"/>
    <w:basedOn w:val="Normal"/>
    <w:uiPriority w:val="34"/>
    <w:qFormat/>
    <w:rsid w:val="001D5A67"/>
    <w:pPr>
      <w:ind w:left="720"/>
    </w:pPr>
    <w:rPr>
      <w:szCs w:val="24"/>
    </w:rPr>
  </w:style>
  <w:style w:type="paragraph" w:customStyle="1" w:styleId="ToAddressLetter">
    <w:name w:val="To Address Letter"/>
    <w:basedOn w:val="Normal"/>
    <w:rsid w:val="001D5A67"/>
    <w:pPr>
      <w:spacing w:before="200"/>
    </w:pPr>
  </w:style>
  <w:style w:type="paragraph" w:styleId="NoSpacing">
    <w:name w:val="No Spacing"/>
    <w:uiPriority w:val="99"/>
    <w:qFormat/>
    <w:rsid w:val="00E13BFF"/>
    <w:rPr>
      <w:rFonts w:ascii="Cambria" w:eastAsia="Cambria" w:hAnsi="Cambria"/>
      <w:sz w:val="24"/>
      <w:szCs w:val="24"/>
    </w:rPr>
  </w:style>
  <w:style w:type="character" w:styleId="Hyperlink">
    <w:name w:val="Hyperlink"/>
    <w:basedOn w:val="DefaultParagraphFont"/>
    <w:rsid w:val="00E13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937">
      <w:bodyDiv w:val="1"/>
      <w:marLeft w:val="0"/>
      <w:marRight w:val="0"/>
      <w:marTop w:val="0"/>
      <w:marBottom w:val="0"/>
      <w:divBdr>
        <w:top w:val="none" w:sz="0" w:space="0" w:color="auto"/>
        <w:left w:val="none" w:sz="0" w:space="0" w:color="auto"/>
        <w:bottom w:val="none" w:sz="0" w:space="0" w:color="auto"/>
        <w:right w:val="none" w:sz="0" w:space="0" w:color="auto"/>
      </w:divBdr>
    </w:div>
    <w:div w:id="629751577">
      <w:bodyDiv w:val="1"/>
      <w:marLeft w:val="0"/>
      <w:marRight w:val="0"/>
      <w:marTop w:val="0"/>
      <w:marBottom w:val="0"/>
      <w:divBdr>
        <w:top w:val="none" w:sz="0" w:space="0" w:color="auto"/>
        <w:left w:val="none" w:sz="0" w:space="0" w:color="auto"/>
        <w:bottom w:val="none" w:sz="0" w:space="0" w:color="auto"/>
        <w:right w:val="none" w:sz="0" w:space="0" w:color="auto"/>
      </w:divBdr>
    </w:div>
    <w:div w:id="989865727">
      <w:bodyDiv w:val="1"/>
      <w:marLeft w:val="0"/>
      <w:marRight w:val="0"/>
      <w:marTop w:val="0"/>
      <w:marBottom w:val="0"/>
      <w:divBdr>
        <w:top w:val="none" w:sz="0" w:space="0" w:color="auto"/>
        <w:left w:val="none" w:sz="0" w:space="0" w:color="auto"/>
        <w:bottom w:val="none" w:sz="0" w:space="0" w:color="auto"/>
        <w:right w:val="none" w:sz="0" w:space="0" w:color="auto"/>
      </w:divBdr>
    </w:div>
    <w:div w:id="14632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punaro@punaro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473</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MEMORANDUM FOR DIRECTOR ADMINISTRATION AND MANAGEMENT</vt:lpstr>
    </vt:vector>
  </TitlesOfParts>
  <Company>Department of Defense - Health Affairs</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DIRECTOR ADMINISTRATION AND MANAGEMENT</dc:title>
  <dc:creator>A Preferred User</dc:creator>
  <cp:lastModifiedBy>Beckett, Gary P (Mac) Col USAF OSD OUSD P-R (USA)</cp:lastModifiedBy>
  <cp:revision>3</cp:revision>
  <cp:lastPrinted>2017-09-21T19:06:00Z</cp:lastPrinted>
  <dcterms:created xsi:type="dcterms:W3CDTF">2022-12-01T15:45:00Z</dcterms:created>
  <dcterms:modified xsi:type="dcterms:W3CDTF">2022-12-01T15:55:00Z</dcterms:modified>
</cp:coreProperties>
</file>